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5" w:rightChars="50"/>
        <w:jc w:val="lef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附件二：</w:t>
      </w:r>
    </w:p>
    <w:p>
      <w:pPr>
        <w:spacing w:line="360" w:lineRule="auto"/>
        <w:ind w:right="105" w:rightChar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安徽省夏大豆品种试验记载项目与标准（试行）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一、田间记载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 播种期：指播种日期，以月/日表示。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 出苗期：子叶展开苗数达到全苗一半的日期（月/日）。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 出苗势：出苗期后3天记载，苗齐而壮者为“1”，中等为“2”，差者为“3”。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 开花期：开花植株达总株数一半的日期（月/日）。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5. 成熟期：整株豆荚呈现品种原有色泽，籽粒变硬或摇动时有响声的植株达80%的日期（月/日）。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6. 收获期：收割的日期（月/日）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7. 生育日期：自出苗之日起到成熟期的日数。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8. 叶形：分披针形、椭圆和圆三种，以中上部复叶的中间叶片为准，在盛花期记载。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9. 花色：分紫、白两色。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10. 茸毛色：分灰、棕两色。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11. 结荚习性：分有限性（有），上下部均结荚，顶部有较多花荚成簇；亚有限性（亚），顶部有少数花荚；无限性（无），顶部叶片小，上几无花荚；共3类。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12. 生育习性：分直立（直）、亚直立（亚）及蔓生（蔓）3类。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13. 荚熟色：分草黄、灰褐、褐、深褐四种。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14. 株型：分收敛、下部分枝与主茎角度在15°以内的“收”；开张，角度在45°以上的“开”；和中间，角度在15—45度的“中”，共3类。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15. 裂荚性：分不裂（不）、轻、中、重四级。在收获前晴日午后记载。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16. 落叶性：分落、部分落、不落3类，在成熟期记载。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17. 倒伏程度：在成熟期记载，分“0”—不倒伏；“1”—植株倾斜小于15°；</w:t>
      </w:r>
      <w:r>
        <w:rPr>
          <w:rFonts w:hint="eastAsia"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—植株倾斜15—45°，“3”—植株倾斜大于45°；“4”—植株倒伏于地。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18. 花叶病毒病：分盛苗期、花荚期二次调查，注明调查日期（月/日），目测发病程度，分“0”，无病；“1”个别叶片发生；“2”叶病发生较多；“3”严发病。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19. 其他病虫害：择发生严重的记载其病虫名称及发生程度。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20. 田间总评：对品种在田间生长进行综合印象总评。分“1”，优；“2”，中；“3”，差。共3级。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21. 备注：有特殊情况须记载者。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二、室内考种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取试验小区内生长正常无缺株的连续10株为考种样本，不用边行边株，共取两个重复，记明取自哪个小区，其产量应补入该区，以下项目凡有数据者除粒重外，每重复均用10株数字平均。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1. 株高：从子叶节量至主茎顶端（不包括顶花序）的长度（厘米）。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2. 结荚高度：从子叶节量至最下部结荚部位的长度（厘米）。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3. 主茎节数：指主茎从子叶节以上起数到顶端节，不包括子叶节及顶端花序。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4. 有效分枝数：指主茎上结荚的有效分枝数，有效分枝至少有2个节，不计再分枝。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5. 单株荚数：一株上有效荚和无效荚各有多少。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6. 单株粒数：除未成形粒外，所有未熟粒、虫食粒、病粒均包括在内。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7. 每荚粒数：用单株粒数除以单株有效荚数之商。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8. 单株粒重：将10株豆粒筛去杂质，但包括未熟、虫食及病粒，称重平均（克）。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9. 百粒重：随机选取完整成熟豆粒100粒称重（克），称两个100粒，若两次相差超过0.5克，重新取样称重。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10. 虫食粒率、紫斑粒率、褐斑粒率：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随机取豆粒300粒，各挑出以上情况病虫粒，计算出百分率。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11. 种皮色：分淡黄、黄、深黄3类。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12. 脐色：分黄、褐、深褐、黑4种。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13. 种子子叶色：分黄、绿2种。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14. 粒形：分圆、椭圆、扁椭圆3类。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15. 种皮光泽：分无、微、强3种。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三、小区产量</w:t>
      </w:r>
    </w:p>
    <w:p>
      <w:pPr>
        <w:spacing w:line="58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指全小区籽粒产量，晒干扬净后称重（kg，保留两位小数），取样区应将取样豆粒重量加入，并折合成每亩公斤数。</w:t>
      </w:r>
    </w:p>
    <w:p>
      <w:pPr>
        <w:rPr>
          <w:rFonts w:eastAsia="仿宋_GB2312"/>
          <w:bCs/>
          <w:sz w:val="32"/>
          <w:szCs w:val="32"/>
        </w:rPr>
      </w:pPr>
    </w:p>
    <w:sectPr>
      <w:footerReference r:id="rId3" w:type="default"/>
      <w:pgSz w:w="11906" w:h="16838"/>
      <w:pgMar w:top="1440" w:right="1286" w:bottom="1440" w:left="162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N2JhYTQ1ZGU2ODFjMTgyYWEyN2MzMjBkMmQ2NmQifQ=="/>
  </w:docVars>
  <w:rsids>
    <w:rsidRoot w:val="00522255"/>
    <w:rsid w:val="000117B2"/>
    <w:rsid w:val="00011F27"/>
    <w:rsid w:val="000151C8"/>
    <w:rsid w:val="000255C7"/>
    <w:rsid w:val="00037A1E"/>
    <w:rsid w:val="00046E69"/>
    <w:rsid w:val="00051F93"/>
    <w:rsid w:val="00052891"/>
    <w:rsid w:val="00054CF3"/>
    <w:rsid w:val="000575B2"/>
    <w:rsid w:val="00065D7B"/>
    <w:rsid w:val="00076C6C"/>
    <w:rsid w:val="000772E6"/>
    <w:rsid w:val="0007752B"/>
    <w:rsid w:val="00080141"/>
    <w:rsid w:val="00084C88"/>
    <w:rsid w:val="000878B3"/>
    <w:rsid w:val="000A70F9"/>
    <w:rsid w:val="000B0BAB"/>
    <w:rsid w:val="000B1062"/>
    <w:rsid w:val="000B3812"/>
    <w:rsid w:val="000F5220"/>
    <w:rsid w:val="000F700D"/>
    <w:rsid w:val="001001C7"/>
    <w:rsid w:val="001012D4"/>
    <w:rsid w:val="00103B7C"/>
    <w:rsid w:val="00140343"/>
    <w:rsid w:val="00146D06"/>
    <w:rsid w:val="0015164C"/>
    <w:rsid w:val="00151AF6"/>
    <w:rsid w:val="00153A50"/>
    <w:rsid w:val="00154F70"/>
    <w:rsid w:val="00160222"/>
    <w:rsid w:val="001623AB"/>
    <w:rsid w:val="00164565"/>
    <w:rsid w:val="001649CD"/>
    <w:rsid w:val="00164B98"/>
    <w:rsid w:val="001740D5"/>
    <w:rsid w:val="0017476E"/>
    <w:rsid w:val="00181303"/>
    <w:rsid w:val="00181C13"/>
    <w:rsid w:val="00183641"/>
    <w:rsid w:val="001876BA"/>
    <w:rsid w:val="00195847"/>
    <w:rsid w:val="001971AD"/>
    <w:rsid w:val="001A0C92"/>
    <w:rsid w:val="001A47DC"/>
    <w:rsid w:val="001A60E2"/>
    <w:rsid w:val="001A6924"/>
    <w:rsid w:val="001B0994"/>
    <w:rsid w:val="001C041B"/>
    <w:rsid w:val="001D0C38"/>
    <w:rsid w:val="001D5989"/>
    <w:rsid w:val="001E564F"/>
    <w:rsid w:val="001E6422"/>
    <w:rsid w:val="001F0A20"/>
    <w:rsid w:val="001F0A97"/>
    <w:rsid w:val="001F527A"/>
    <w:rsid w:val="002001F0"/>
    <w:rsid w:val="00210C47"/>
    <w:rsid w:val="00212E44"/>
    <w:rsid w:val="00216992"/>
    <w:rsid w:val="00216AA7"/>
    <w:rsid w:val="00225FA5"/>
    <w:rsid w:val="00235818"/>
    <w:rsid w:val="00241D56"/>
    <w:rsid w:val="0024252D"/>
    <w:rsid w:val="00245044"/>
    <w:rsid w:val="00261632"/>
    <w:rsid w:val="0026480B"/>
    <w:rsid w:val="00266FFC"/>
    <w:rsid w:val="002703B1"/>
    <w:rsid w:val="0027090E"/>
    <w:rsid w:val="0027665B"/>
    <w:rsid w:val="002766A9"/>
    <w:rsid w:val="00285F41"/>
    <w:rsid w:val="002A77ED"/>
    <w:rsid w:val="002B1E29"/>
    <w:rsid w:val="002C0EA9"/>
    <w:rsid w:val="002C7BBC"/>
    <w:rsid w:val="002D36B9"/>
    <w:rsid w:val="002D491B"/>
    <w:rsid w:val="002D49AC"/>
    <w:rsid w:val="002D7EBB"/>
    <w:rsid w:val="002E10C6"/>
    <w:rsid w:val="002E2A77"/>
    <w:rsid w:val="002E3EFA"/>
    <w:rsid w:val="002F307D"/>
    <w:rsid w:val="002F39B5"/>
    <w:rsid w:val="002F6356"/>
    <w:rsid w:val="00300187"/>
    <w:rsid w:val="0030223A"/>
    <w:rsid w:val="00304F2A"/>
    <w:rsid w:val="0031182F"/>
    <w:rsid w:val="0031307F"/>
    <w:rsid w:val="00322502"/>
    <w:rsid w:val="00331DEB"/>
    <w:rsid w:val="0034163D"/>
    <w:rsid w:val="0034279D"/>
    <w:rsid w:val="003467E8"/>
    <w:rsid w:val="00346D13"/>
    <w:rsid w:val="0035079B"/>
    <w:rsid w:val="00356719"/>
    <w:rsid w:val="003601D6"/>
    <w:rsid w:val="003654EF"/>
    <w:rsid w:val="00365E43"/>
    <w:rsid w:val="00371D46"/>
    <w:rsid w:val="00372095"/>
    <w:rsid w:val="00373213"/>
    <w:rsid w:val="003735A4"/>
    <w:rsid w:val="003737AE"/>
    <w:rsid w:val="00375487"/>
    <w:rsid w:val="00375643"/>
    <w:rsid w:val="00376DE6"/>
    <w:rsid w:val="00380186"/>
    <w:rsid w:val="00380B88"/>
    <w:rsid w:val="003972B9"/>
    <w:rsid w:val="003A1C61"/>
    <w:rsid w:val="003A3732"/>
    <w:rsid w:val="003A5AAB"/>
    <w:rsid w:val="003A7E4C"/>
    <w:rsid w:val="003B0B6D"/>
    <w:rsid w:val="003C12CD"/>
    <w:rsid w:val="003C42FD"/>
    <w:rsid w:val="003D28E3"/>
    <w:rsid w:val="003D2FE4"/>
    <w:rsid w:val="003D3DC0"/>
    <w:rsid w:val="003D5E7B"/>
    <w:rsid w:val="003E1059"/>
    <w:rsid w:val="00401EC2"/>
    <w:rsid w:val="00403A16"/>
    <w:rsid w:val="00405375"/>
    <w:rsid w:val="00406DC7"/>
    <w:rsid w:val="004102DD"/>
    <w:rsid w:val="0041177A"/>
    <w:rsid w:val="0041289E"/>
    <w:rsid w:val="00414383"/>
    <w:rsid w:val="00415C72"/>
    <w:rsid w:val="0042654F"/>
    <w:rsid w:val="004313A2"/>
    <w:rsid w:val="00440B60"/>
    <w:rsid w:val="00444F0C"/>
    <w:rsid w:val="00446B33"/>
    <w:rsid w:val="004519B4"/>
    <w:rsid w:val="004550A7"/>
    <w:rsid w:val="0045535D"/>
    <w:rsid w:val="004609A0"/>
    <w:rsid w:val="00465C34"/>
    <w:rsid w:val="00471C6E"/>
    <w:rsid w:val="00475309"/>
    <w:rsid w:val="00475685"/>
    <w:rsid w:val="0048265E"/>
    <w:rsid w:val="00486199"/>
    <w:rsid w:val="004861E6"/>
    <w:rsid w:val="00495B7E"/>
    <w:rsid w:val="00496913"/>
    <w:rsid w:val="004A13B4"/>
    <w:rsid w:val="004B2A3E"/>
    <w:rsid w:val="004D225A"/>
    <w:rsid w:val="004E233A"/>
    <w:rsid w:val="004E3D94"/>
    <w:rsid w:val="004F38A5"/>
    <w:rsid w:val="00501B60"/>
    <w:rsid w:val="00513CF3"/>
    <w:rsid w:val="00515D02"/>
    <w:rsid w:val="00515D8B"/>
    <w:rsid w:val="005162F9"/>
    <w:rsid w:val="00522255"/>
    <w:rsid w:val="00530712"/>
    <w:rsid w:val="00536EAD"/>
    <w:rsid w:val="0054051C"/>
    <w:rsid w:val="005408FC"/>
    <w:rsid w:val="00551791"/>
    <w:rsid w:val="005537E5"/>
    <w:rsid w:val="0056431B"/>
    <w:rsid w:val="00567001"/>
    <w:rsid w:val="00573181"/>
    <w:rsid w:val="0057372D"/>
    <w:rsid w:val="00574300"/>
    <w:rsid w:val="00577480"/>
    <w:rsid w:val="00580255"/>
    <w:rsid w:val="0058620A"/>
    <w:rsid w:val="00595964"/>
    <w:rsid w:val="005A5016"/>
    <w:rsid w:val="005A7C3C"/>
    <w:rsid w:val="005B06E9"/>
    <w:rsid w:val="005C1D26"/>
    <w:rsid w:val="005C22A1"/>
    <w:rsid w:val="005C5A9A"/>
    <w:rsid w:val="005D0682"/>
    <w:rsid w:val="005D0EF2"/>
    <w:rsid w:val="005F4D3A"/>
    <w:rsid w:val="00601C09"/>
    <w:rsid w:val="006045D4"/>
    <w:rsid w:val="00604E7E"/>
    <w:rsid w:val="0061568E"/>
    <w:rsid w:val="0062303F"/>
    <w:rsid w:val="00627503"/>
    <w:rsid w:val="0063418E"/>
    <w:rsid w:val="00644360"/>
    <w:rsid w:val="0066008B"/>
    <w:rsid w:val="00661D47"/>
    <w:rsid w:val="006664B7"/>
    <w:rsid w:val="00674C99"/>
    <w:rsid w:val="0068238F"/>
    <w:rsid w:val="006A4414"/>
    <w:rsid w:val="006B0A21"/>
    <w:rsid w:val="006B1055"/>
    <w:rsid w:val="006B21F6"/>
    <w:rsid w:val="006C14DB"/>
    <w:rsid w:val="006C6519"/>
    <w:rsid w:val="006E26A2"/>
    <w:rsid w:val="006E2B57"/>
    <w:rsid w:val="006E7119"/>
    <w:rsid w:val="006E723D"/>
    <w:rsid w:val="006F21AB"/>
    <w:rsid w:val="007018BA"/>
    <w:rsid w:val="007071F3"/>
    <w:rsid w:val="00712063"/>
    <w:rsid w:val="007152A2"/>
    <w:rsid w:val="007157C7"/>
    <w:rsid w:val="0071599D"/>
    <w:rsid w:val="007178BE"/>
    <w:rsid w:val="0072395F"/>
    <w:rsid w:val="007320CF"/>
    <w:rsid w:val="007356D7"/>
    <w:rsid w:val="007361EE"/>
    <w:rsid w:val="00747B29"/>
    <w:rsid w:val="007673B4"/>
    <w:rsid w:val="007732E7"/>
    <w:rsid w:val="0077642E"/>
    <w:rsid w:val="00776E2F"/>
    <w:rsid w:val="00776E91"/>
    <w:rsid w:val="00780469"/>
    <w:rsid w:val="007813D1"/>
    <w:rsid w:val="007833CE"/>
    <w:rsid w:val="00785D5D"/>
    <w:rsid w:val="00785F48"/>
    <w:rsid w:val="007868FB"/>
    <w:rsid w:val="0079631E"/>
    <w:rsid w:val="0079745B"/>
    <w:rsid w:val="007B1D86"/>
    <w:rsid w:val="007B7E8F"/>
    <w:rsid w:val="007C07D7"/>
    <w:rsid w:val="007D470C"/>
    <w:rsid w:val="007D559F"/>
    <w:rsid w:val="007E2358"/>
    <w:rsid w:val="007E61FF"/>
    <w:rsid w:val="007E6DD0"/>
    <w:rsid w:val="007F54A0"/>
    <w:rsid w:val="00800D7A"/>
    <w:rsid w:val="00806181"/>
    <w:rsid w:val="0080763D"/>
    <w:rsid w:val="00814065"/>
    <w:rsid w:val="00833DDF"/>
    <w:rsid w:val="00835A22"/>
    <w:rsid w:val="008510E4"/>
    <w:rsid w:val="008535E6"/>
    <w:rsid w:val="00857075"/>
    <w:rsid w:val="008620B0"/>
    <w:rsid w:val="00864FA3"/>
    <w:rsid w:val="0087034B"/>
    <w:rsid w:val="008858F9"/>
    <w:rsid w:val="008A4297"/>
    <w:rsid w:val="008A4D26"/>
    <w:rsid w:val="008A7076"/>
    <w:rsid w:val="008C65C3"/>
    <w:rsid w:val="008D69B3"/>
    <w:rsid w:val="008E1FAE"/>
    <w:rsid w:val="008E2902"/>
    <w:rsid w:val="008E58D4"/>
    <w:rsid w:val="008F0D0E"/>
    <w:rsid w:val="00915B81"/>
    <w:rsid w:val="00923035"/>
    <w:rsid w:val="00923183"/>
    <w:rsid w:val="00934CF4"/>
    <w:rsid w:val="009350EA"/>
    <w:rsid w:val="00940A1E"/>
    <w:rsid w:val="00944300"/>
    <w:rsid w:val="00957185"/>
    <w:rsid w:val="00957C75"/>
    <w:rsid w:val="00960F79"/>
    <w:rsid w:val="0096291F"/>
    <w:rsid w:val="00967C56"/>
    <w:rsid w:val="0097179F"/>
    <w:rsid w:val="00976A91"/>
    <w:rsid w:val="0098095D"/>
    <w:rsid w:val="00982DD6"/>
    <w:rsid w:val="009865D7"/>
    <w:rsid w:val="009905AF"/>
    <w:rsid w:val="00996F0B"/>
    <w:rsid w:val="009A7547"/>
    <w:rsid w:val="009C09B9"/>
    <w:rsid w:val="009C0D58"/>
    <w:rsid w:val="009C717E"/>
    <w:rsid w:val="009C7F2C"/>
    <w:rsid w:val="009D309A"/>
    <w:rsid w:val="009E5E61"/>
    <w:rsid w:val="009F12C3"/>
    <w:rsid w:val="009F2215"/>
    <w:rsid w:val="009F46B7"/>
    <w:rsid w:val="009F7910"/>
    <w:rsid w:val="00A008C5"/>
    <w:rsid w:val="00A053C2"/>
    <w:rsid w:val="00A13D1B"/>
    <w:rsid w:val="00A1615C"/>
    <w:rsid w:val="00A17D3F"/>
    <w:rsid w:val="00A210D2"/>
    <w:rsid w:val="00A43CF5"/>
    <w:rsid w:val="00A62014"/>
    <w:rsid w:val="00A82BA9"/>
    <w:rsid w:val="00A83BFC"/>
    <w:rsid w:val="00A92673"/>
    <w:rsid w:val="00A94AA4"/>
    <w:rsid w:val="00A9568E"/>
    <w:rsid w:val="00A95CE1"/>
    <w:rsid w:val="00AA0715"/>
    <w:rsid w:val="00AA193B"/>
    <w:rsid w:val="00AA358F"/>
    <w:rsid w:val="00AB0DE9"/>
    <w:rsid w:val="00AB1561"/>
    <w:rsid w:val="00AC0B60"/>
    <w:rsid w:val="00AC0B84"/>
    <w:rsid w:val="00AC252B"/>
    <w:rsid w:val="00AC31CE"/>
    <w:rsid w:val="00AC3A73"/>
    <w:rsid w:val="00AC46BE"/>
    <w:rsid w:val="00AC79AC"/>
    <w:rsid w:val="00AD2481"/>
    <w:rsid w:val="00AD2D72"/>
    <w:rsid w:val="00AD5E50"/>
    <w:rsid w:val="00AD5F87"/>
    <w:rsid w:val="00AE00EC"/>
    <w:rsid w:val="00AE3E29"/>
    <w:rsid w:val="00AE5C9C"/>
    <w:rsid w:val="00AE7FD5"/>
    <w:rsid w:val="00AF4146"/>
    <w:rsid w:val="00AF6EF1"/>
    <w:rsid w:val="00B046FB"/>
    <w:rsid w:val="00B0777E"/>
    <w:rsid w:val="00B21204"/>
    <w:rsid w:val="00B21B99"/>
    <w:rsid w:val="00B23C2F"/>
    <w:rsid w:val="00B33E38"/>
    <w:rsid w:val="00B4147A"/>
    <w:rsid w:val="00B467ED"/>
    <w:rsid w:val="00B54AD8"/>
    <w:rsid w:val="00B54C14"/>
    <w:rsid w:val="00B576A5"/>
    <w:rsid w:val="00B60683"/>
    <w:rsid w:val="00B6391C"/>
    <w:rsid w:val="00B77B01"/>
    <w:rsid w:val="00B8647E"/>
    <w:rsid w:val="00B873F7"/>
    <w:rsid w:val="00B93E94"/>
    <w:rsid w:val="00B93F39"/>
    <w:rsid w:val="00B94742"/>
    <w:rsid w:val="00B97D62"/>
    <w:rsid w:val="00BB0E52"/>
    <w:rsid w:val="00BB5617"/>
    <w:rsid w:val="00BD135A"/>
    <w:rsid w:val="00BE0CD3"/>
    <w:rsid w:val="00BE38A7"/>
    <w:rsid w:val="00BF4946"/>
    <w:rsid w:val="00BF50CB"/>
    <w:rsid w:val="00BF64EC"/>
    <w:rsid w:val="00BF7889"/>
    <w:rsid w:val="00C003B9"/>
    <w:rsid w:val="00C0393C"/>
    <w:rsid w:val="00C07E34"/>
    <w:rsid w:val="00C21AE9"/>
    <w:rsid w:val="00C22860"/>
    <w:rsid w:val="00C42CCF"/>
    <w:rsid w:val="00C42FC2"/>
    <w:rsid w:val="00C47667"/>
    <w:rsid w:val="00C47B82"/>
    <w:rsid w:val="00C809AB"/>
    <w:rsid w:val="00C83667"/>
    <w:rsid w:val="00C85068"/>
    <w:rsid w:val="00CA067B"/>
    <w:rsid w:val="00CA1566"/>
    <w:rsid w:val="00CA78D9"/>
    <w:rsid w:val="00CA7AFD"/>
    <w:rsid w:val="00CB312C"/>
    <w:rsid w:val="00CB46DE"/>
    <w:rsid w:val="00CB4ADC"/>
    <w:rsid w:val="00CC63DE"/>
    <w:rsid w:val="00CD243C"/>
    <w:rsid w:val="00CD349F"/>
    <w:rsid w:val="00CD4DDC"/>
    <w:rsid w:val="00CF092C"/>
    <w:rsid w:val="00CF1B43"/>
    <w:rsid w:val="00D011E6"/>
    <w:rsid w:val="00D059EC"/>
    <w:rsid w:val="00D05E8F"/>
    <w:rsid w:val="00D075D4"/>
    <w:rsid w:val="00D35D77"/>
    <w:rsid w:val="00D41ABC"/>
    <w:rsid w:val="00D4382E"/>
    <w:rsid w:val="00D43AAE"/>
    <w:rsid w:val="00D55672"/>
    <w:rsid w:val="00D559B0"/>
    <w:rsid w:val="00D641FC"/>
    <w:rsid w:val="00D66106"/>
    <w:rsid w:val="00D6689B"/>
    <w:rsid w:val="00D672EF"/>
    <w:rsid w:val="00D76DCD"/>
    <w:rsid w:val="00D77D93"/>
    <w:rsid w:val="00D80A61"/>
    <w:rsid w:val="00D84AE3"/>
    <w:rsid w:val="00DA355E"/>
    <w:rsid w:val="00DB5B5C"/>
    <w:rsid w:val="00DC004D"/>
    <w:rsid w:val="00DC5025"/>
    <w:rsid w:val="00DD01A6"/>
    <w:rsid w:val="00DD06A8"/>
    <w:rsid w:val="00DD15FD"/>
    <w:rsid w:val="00DD4652"/>
    <w:rsid w:val="00E00901"/>
    <w:rsid w:val="00E021AF"/>
    <w:rsid w:val="00E049BF"/>
    <w:rsid w:val="00E05DB6"/>
    <w:rsid w:val="00E07738"/>
    <w:rsid w:val="00E149BE"/>
    <w:rsid w:val="00E228A0"/>
    <w:rsid w:val="00E332E5"/>
    <w:rsid w:val="00E35D5D"/>
    <w:rsid w:val="00E4621A"/>
    <w:rsid w:val="00E54F20"/>
    <w:rsid w:val="00E63276"/>
    <w:rsid w:val="00E75348"/>
    <w:rsid w:val="00E763A8"/>
    <w:rsid w:val="00EA0091"/>
    <w:rsid w:val="00EA18BA"/>
    <w:rsid w:val="00EA1D31"/>
    <w:rsid w:val="00EA5D09"/>
    <w:rsid w:val="00EB4FB0"/>
    <w:rsid w:val="00EB5FA5"/>
    <w:rsid w:val="00EC2C1B"/>
    <w:rsid w:val="00EC4C46"/>
    <w:rsid w:val="00EC4EA4"/>
    <w:rsid w:val="00EC6465"/>
    <w:rsid w:val="00ED07D0"/>
    <w:rsid w:val="00ED0BBD"/>
    <w:rsid w:val="00ED7810"/>
    <w:rsid w:val="00EE6EC3"/>
    <w:rsid w:val="00EF1D6A"/>
    <w:rsid w:val="00EF4067"/>
    <w:rsid w:val="00F07EA3"/>
    <w:rsid w:val="00F17B88"/>
    <w:rsid w:val="00F21026"/>
    <w:rsid w:val="00F23284"/>
    <w:rsid w:val="00F251B2"/>
    <w:rsid w:val="00F40A78"/>
    <w:rsid w:val="00F54910"/>
    <w:rsid w:val="00F55326"/>
    <w:rsid w:val="00F563E6"/>
    <w:rsid w:val="00F62625"/>
    <w:rsid w:val="00F71562"/>
    <w:rsid w:val="00F74CDB"/>
    <w:rsid w:val="00F75A22"/>
    <w:rsid w:val="00F813E1"/>
    <w:rsid w:val="00F871B0"/>
    <w:rsid w:val="00FA30A7"/>
    <w:rsid w:val="00FB09B6"/>
    <w:rsid w:val="00FB3213"/>
    <w:rsid w:val="00FB5F6B"/>
    <w:rsid w:val="00FC0D66"/>
    <w:rsid w:val="00FC14E9"/>
    <w:rsid w:val="00FC1E42"/>
    <w:rsid w:val="00FC63B6"/>
    <w:rsid w:val="00FE160C"/>
    <w:rsid w:val="00FE4E1A"/>
    <w:rsid w:val="00FE56E9"/>
    <w:rsid w:val="00FF2CF3"/>
    <w:rsid w:val="00FF3937"/>
    <w:rsid w:val="00FF4C52"/>
    <w:rsid w:val="09711E24"/>
    <w:rsid w:val="0EBF7318"/>
    <w:rsid w:val="10AE22AC"/>
    <w:rsid w:val="32465E8E"/>
    <w:rsid w:val="43527BCB"/>
    <w:rsid w:val="45446C5B"/>
    <w:rsid w:val="4C7071D2"/>
    <w:rsid w:val="50601301"/>
    <w:rsid w:val="5FFD4282"/>
    <w:rsid w:val="6DB7060A"/>
    <w:rsid w:val="73FEE143"/>
    <w:rsid w:val="7696A772"/>
    <w:rsid w:val="77FB8E08"/>
    <w:rsid w:val="7A2E124E"/>
    <w:rsid w:val="7B4C359F"/>
    <w:rsid w:val="7F3401E5"/>
    <w:rsid w:val="7F78C75B"/>
    <w:rsid w:val="7FDB101D"/>
    <w:rsid w:val="7FE378CC"/>
    <w:rsid w:val="7FFFF170"/>
    <w:rsid w:val="8FFD1D29"/>
    <w:rsid w:val="BBDF3D09"/>
    <w:rsid w:val="C5F5BF54"/>
    <w:rsid w:val="DBFE7B0C"/>
    <w:rsid w:val="DE85165E"/>
    <w:rsid w:val="DF97A0F0"/>
    <w:rsid w:val="E2EF942F"/>
    <w:rsid w:val="E35F575D"/>
    <w:rsid w:val="E3C9AAD3"/>
    <w:rsid w:val="F14BCAF8"/>
    <w:rsid w:val="F4F9019C"/>
    <w:rsid w:val="FAEE6FA9"/>
    <w:rsid w:val="FF5EF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360" w:lineRule="auto"/>
      <w:ind w:firstLine="420" w:firstLineChars="200"/>
    </w:pPr>
    <w:rPr>
      <w:rFonts w:ascii="宋体" w:hAns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12</Pages>
  <Words>4957</Words>
  <Characters>6170</Characters>
  <Lines>50</Lines>
  <Paragraphs>14</Paragraphs>
  <TotalTime>13</TotalTime>
  <ScaleCrop>false</ScaleCrop>
  <LinksUpToDate>false</LinksUpToDate>
  <CharactersWithSpaces>6253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2020-05-04T15:51:00Z</dcterms:created>
  <dc:creator>user</dc:creator>
  <cp:lastModifiedBy>WPS_1614669244</cp:lastModifiedBy>
  <cp:lastPrinted>2022-05-06T15:32:00Z</cp:lastPrinted>
  <dcterms:modified xsi:type="dcterms:W3CDTF">2022-05-09T00:54:53Z</dcterms:modified>
  <dc:title>2004年安徽省夏大豆区域试验实施方案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468083A1E73C433B9C4F3071AF6CB5D6</vt:lpwstr>
  </property>
</Properties>
</file>